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7B1AD" w14:textId="7344C26D" w:rsidR="003775E1" w:rsidRDefault="003775E1" w:rsidP="003775E1">
      <w:pPr>
        <w:pStyle w:val="Header"/>
        <w:tabs>
          <w:tab w:val="right" w:pos="8280"/>
          <w:tab w:val="right" w:pos="9781"/>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84bis</w:t>
      </w:r>
      <w:r>
        <w:rPr>
          <w:rFonts w:ascii="Arial" w:eastAsia="MS Mincho" w:hAnsi="Arial" w:cs="Arial"/>
          <w:b/>
          <w:bCs/>
          <w:sz w:val="28"/>
          <w:lang w:eastAsia="ja-JP"/>
        </w:rPr>
        <w:tab/>
        <w:t>R1-16</w:t>
      </w:r>
      <w:r w:rsidR="009C3F37">
        <w:rPr>
          <w:rFonts w:ascii="Arial" w:eastAsia="MS Mincho" w:hAnsi="Arial" w:cs="Arial"/>
          <w:b/>
          <w:bCs/>
          <w:sz w:val="28"/>
          <w:lang w:eastAsia="ja-JP"/>
        </w:rPr>
        <w:t>3050</w:t>
      </w:r>
    </w:p>
    <w:p w14:paraId="35181DA7" w14:textId="77777777" w:rsidR="003775E1" w:rsidRDefault="003775E1" w:rsidP="003775E1">
      <w:pPr>
        <w:pStyle w:val="Header"/>
        <w:spacing w:before="120"/>
        <w:rPr>
          <w:rFonts w:ascii="Arial" w:eastAsia="MS Mincho" w:hAnsi="Arial" w:cs="Arial"/>
          <w:b/>
          <w:bCs/>
          <w:sz w:val="28"/>
          <w:lang w:eastAsia="ja-JP"/>
        </w:rPr>
      </w:pPr>
      <w:r>
        <w:rPr>
          <w:rFonts w:ascii="Arial" w:eastAsia="MS Mincho" w:hAnsi="Arial" w:cs="Arial"/>
          <w:b/>
          <w:bCs/>
          <w:sz w:val="28"/>
          <w:lang w:eastAsia="ja-JP"/>
        </w:rPr>
        <w:t>Busan, Korea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58BA7D18"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775E1">
        <w:rPr>
          <w:rFonts w:ascii="Arial" w:hAnsi="Arial" w:cs="Arial"/>
          <w:snapToGrid w:val="0"/>
          <w:sz w:val="24"/>
        </w:rPr>
        <w:t>7.3.5.</w:t>
      </w:r>
      <w:r w:rsidR="002515C6">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C075247" w14:textId="77777777" w:rsidR="002515C6" w:rsidRDefault="002A2420" w:rsidP="002515C6">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2515C6" w:rsidRPr="002515C6">
        <w:rPr>
          <w:rFonts w:ascii="Arial" w:hAnsi="Arial" w:cs="Arial"/>
          <w:snapToGrid w:val="0"/>
          <w:sz w:val="24"/>
        </w:rPr>
        <w:t>Increased number of MBSFN subframes per radio frame</w:t>
      </w:r>
    </w:p>
    <w:p w14:paraId="476EA4DF" w14:textId="77777777" w:rsidR="00E80D0C" w:rsidRPr="000F29F8" w:rsidRDefault="00E80D0C" w:rsidP="00E80D0C">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6F596089"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Pr>
          <w:rFonts w:ascii="Times New Roman"/>
          <w:i/>
          <w:snapToGrid w:val="0"/>
          <w:kern w:val="0"/>
          <w:sz w:val="22"/>
          <w:szCs w:val="22"/>
          <w:lang w:val="en-GB"/>
        </w:rPr>
        <w:t>eMBMS enhancement for LTE</w:t>
      </w:r>
      <w:r>
        <w:rPr>
          <w:rFonts w:ascii="Times New Roman"/>
          <w:snapToGrid w:val="0"/>
          <w:kern w:val="0"/>
          <w:sz w:val="22"/>
          <w:szCs w:val="22"/>
          <w:lang w:val="en-GB"/>
        </w:rPr>
        <w:t xml:space="preserve"> [1] was introduced. The objectives of the WI include the support of longer CP, additional MBSFN subframes, and study standalone carrier. In this document we provide our views on the support of </w:t>
      </w:r>
      <w:r w:rsidR="002515C6">
        <w:rPr>
          <w:rFonts w:ascii="Times New Roman"/>
          <w:snapToGrid w:val="0"/>
          <w:kern w:val="0"/>
          <w:sz w:val="22"/>
          <w:szCs w:val="22"/>
          <w:lang w:val="en-GB"/>
        </w:rPr>
        <w:t>increased numbers of MBSFN subframes per radio frame</w:t>
      </w:r>
      <w:r>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39DEAA4D" w:rsidR="00547160" w:rsidRDefault="002515C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Mechanisms to enable more MBSFN subframes per radio frame</w:t>
      </w:r>
    </w:p>
    <w:p w14:paraId="02AA7FE4" w14:textId="2C8EAFC1" w:rsidR="00A03A56" w:rsidRDefault="00EF71A8" w:rsidP="002515C6">
      <w:pPr>
        <w:pStyle w:val="LGTdoc1"/>
        <w:spacing w:beforeLines="0" w:before="120" w:after="220" w:afterAutospacing="0"/>
        <w:rPr>
          <w:b w:val="0"/>
          <w:sz w:val="22"/>
          <w:szCs w:val="22"/>
        </w:rPr>
      </w:pPr>
      <w:r w:rsidRPr="00EF71A8">
        <w:rPr>
          <w:b w:val="0"/>
          <w:sz w:val="22"/>
          <w:szCs w:val="22"/>
        </w:rPr>
        <w:t xml:space="preserve">In current Rel-13 LTE </w:t>
      </w:r>
      <w:r>
        <w:rPr>
          <w:b w:val="0"/>
          <w:sz w:val="22"/>
          <w:szCs w:val="22"/>
        </w:rPr>
        <w:t xml:space="preserve">only up to 6 subframes per radio frame can be configured as MBSFN subframes, which reduces the data rate achievable by MBMS services. </w:t>
      </w:r>
      <w:r w:rsidR="00AE0284">
        <w:rPr>
          <w:b w:val="0"/>
          <w:sz w:val="22"/>
          <w:szCs w:val="22"/>
        </w:rPr>
        <w:t xml:space="preserve">For </w:t>
      </w:r>
      <w:r w:rsidR="00143EA3">
        <w:rPr>
          <w:b w:val="0"/>
          <w:sz w:val="22"/>
          <w:szCs w:val="22"/>
        </w:rPr>
        <w:t>Rel-14</w:t>
      </w:r>
      <w:r w:rsidR="00AE0284">
        <w:rPr>
          <w:b w:val="0"/>
          <w:sz w:val="22"/>
          <w:szCs w:val="22"/>
        </w:rPr>
        <w:t xml:space="preserve">, the </w:t>
      </w:r>
      <w:r w:rsidR="00AE0284">
        <w:rPr>
          <w:b w:val="0"/>
          <w:i/>
          <w:sz w:val="22"/>
          <w:szCs w:val="22"/>
        </w:rPr>
        <w:t>subframeAllocation</w:t>
      </w:r>
      <w:r w:rsidR="00AE0284">
        <w:rPr>
          <w:b w:val="0"/>
          <w:sz w:val="22"/>
          <w:szCs w:val="22"/>
        </w:rPr>
        <w:t xml:space="preserve"> parameter in </w:t>
      </w:r>
      <w:r w:rsidR="00AE0284">
        <w:rPr>
          <w:b w:val="0"/>
          <w:i/>
          <w:sz w:val="22"/>
          <w:szCs w:val="22"/>
        </w:rPr>
        <w:t>MBSFN-SubframeConfig</w:t>
      </w:r>
      <w:r w:rsidR="00AE0284">
        <w:rPr>
          <w:b w:val="0"/>
          <w:sz w:val="22"/>
          <w:szCs w:val="22"/>
        </w:rPr>
        <w:t xml:space="preserve"> can be modified to allow for signalling of more MBSFN subframes.</w:t>
      </w:r>
      <w:r w:rsidR="00A03A56">
        <w:rPr>
          <w:b w:val="0"/>
          <w:sz w:val="22"/>
          <w:szCs w:val="22"/>
        </w:rPr>
        <w:t xml:space="preserve"> In line with the design in [2], we propose to have one unicast subframe transmitted every 40 or 80ms. This subframe can be used for measurements and system information, for example.</w:t>
      </w:r>
    </w:p>
    <w:p w14:paraId="66AA99E4" w14:textId="61F8EDF8" w:rsidR="002515C6" w:rsidRDefault="00AE0284" w:rsidP="002515C6">
      <w:pPr>
        <w:pStyle w:val="LGTdoc1"/>
        <w:spacing w:beforeLines="0" w:before="120" w:after="220" w:afterAutospacing="0"/>
        <w:rPr>
          <w:b w:val="0"/>
          <w:sz w:val="22"/>
          <w:szCs w:val="22"/>
        </w:rPr>
      </w:pPr>
      <w:r>
        <w:rPr>
          <w:b w:val="0"/>
          <w:sz w:val="22"/>
          <w:szCs w:val="22"/>
        </w:rPr>
        <w:t>For example, the current ASN.1 is as follows:</w:t>
      </w:r>
    </w:p>
    <w:p w14:paraId="0D199270" w14:textId="77777777" w:rsidR="00AE0284" w:rsidRPr="00D05729" w:rsidRDefault="00AE0284" w:rsidP="00AE0284">
      <w:pPr>
        <w:pStyle w:val="PL"/>
        <w:shd w:val="clear" w:color="auto" w:fill="E6E6E6"/>
      </w:pPr>
      <w:r w:rsidRPr="00D05729">
        <w:t>subframeAllocation</w:t>
      </w:r>
      <w:r w:rsidRPr="00D05729">
        <w:tab/>
      </w:r>
      <w:r w:rsidRPr="00D05729">
        <w:tab/>
      </w:r>
      <w:r w:rsidRPr="00D05729">
        <w:tab/>
      </w:r>
      <w:r w:rsidRPr="00D05729">
        <w:tab/>
      </w:r>
      <w:r w:rsidRPr="00D05729">
        <w:tab/>
        <w:t>CHOICE {</w:t>
      </w:r>
    </w:p>
    <w:p w14:paraId="29139A19" w14:textId="77777777" w:rsidR="00AE0284" w:rsidRPr="00D05729" w:rsidRDefault="00AE0284" w:rsidP="00AE0284">
      <w:pPr>
        <w:pStyle w:val="PL"/>
        <w:shd w:val="clear" w:color="auto" w:fill="E6E6E6"/>
      </w:pPr>
      <w:r w:rsidRPr="00D05729">
        <w:tab/>
      </w:r>
      <w:r w:rsidRPr="00D05729">
        <w:tab/>
        <w:t>oneFrame</w:t>
      </w:r>
      <w:r w:rsidRPr="00D05729">
        <w:tab/>
      </w:r>
      <w:r w:rsidRPr="00D05729">
        <w:tab/>
      </w:r>
      <w:r w:rsidRPr="00D05729">
        <w:tab/>
      </w:r>
      <w:r w:rsidRPr="00D05729">
        <w:tab/>
      </w:r>
      <w:r w:rsidRPr="00D05729">
        <w:tab/>
      </w:r>
      <w:r w:rsidRPr="00D05729">
        <w:tab/>
      </w:r>
      <w:r w:rsidRPr="00D05729">
        <w:tab/>
        <w:t>BIT STRING (SIZE(6)),</w:t>
      </w:r>
    </w:p>
    <w:p w14:paraId="700B6887" w14:textId="77777777" w:rsidR="00AE0284" w:rsidRPr="00D05729" w:rsidRDefault="00AE0284" w:rsidP="00AE0284">
      <w:pPr>
        <w:pStyle w:val="PL"/>
        <w:shd w:val="clear" w:color="auto" w:fill="E6E6E6"/>
      </w:pPr>
      <w:r w:rsidRPr="00D05729">
        <w:tab/>
      </w:r>
      <w:r w:rsidRPr="00D05729">
        <w:tab/>
        <w:t>fourFrames</w:t>
      </w:r>
      <w:r w:rsidRPr="00D05729">
        <w:tab/>
      </w:r>
      <w:r w:rsidRPr="00D05729">
        <w:tab/>
      </w:r>
      <w:r w:rsidRPr="00D05729">
        <w:tab/>
      </w:r>
      <w:r w:rsidRPr="00D05729">
        <w:tab/>
      </w:r>
      <w:r w:rsidRPr="00D05729">
        <w:tab/>
      </w:r>
      <w:r w:rsidRPr="00D05729">
        <w:tab/>
      </w:r>
      <w:r w:rsidRPr="00D05729">
        <w:tab/>
        <w:t>BIT STRING (SIZE(24))</w:t>
      </w:r>
    </w:p>
    <w:p w14:paraId="00B5ECC5" w14:textId="77777777" w:rsidR="00AE0284" w:rsidRPr="00D05729" w:rsidRDefault="00AE0284" w:rsidP="00AE0284">
      <w:pPr>
        <w:pStyle w:val="PL"/>
        <w:shd w:val="clear" w:color="auto" w:fill="E6E6E6"/>
      </w:pPr>
      <w:r w:rsidRPr="00D05729">
        <w:tab/>
        <w:t>}</w:t>
      </w:r>
    </w:p>
    <w:bookmarkEnd w:id="0"/>
    <w:bookmarkEnd w:id="1"/>
    <w:p w14:paraId="4E61E511" w14:textId="296F869B" w:rsidR="00AE0284" w:rsidRDefault="002D7942" w:rsidP="00597774">
      <w:pPr>
        <w:pStyle w:val="LGTdoc1"/>
        <w:spacing w:beforeLines="0" w:before="120" w:after="220" w:afterAutospacing="0"/>
        <w:rPr>
          <w:b w:val="0"/>
          <w:sz w:val="22"/>
          <w:szCs w:val="22"/>
        </w:rPr>
      </w:pPr>
      <w:r>
        <w:rPr>
          <w:b w:val="0"/>
          <w:sz w:val="22"/>
          <w:szCs w:val="22"/>
        </w:rPr>
        <w:t>And the new signalling could be as follows</w:t>
      </w:r>
    </w:p>
    <w:p w14:paraId="64DDC6F5" w14:textId="0BFDB777" w:rsidR="00AE0284" w:rsidRPr="00D05729" w:rsidRDefault="00AE0284" w:rsidP="00AE0284">
      <w:pPr>
        <w:pStyle w:val="PL"/>
        <w:shd w:val="clear" w:color="auto" w:fill="E6E6E6"/>
      </w:pPr>
      <w:r w:rsidRPr="00D05729">
        <w:t>subframeAllocation</w:t>
      </w:r>
      <w:r>
        <w:t>-r14</w:t>
      </w:r>
      <w:r w:rsidRPr="00D05729">
        <w:tab/>
      </w:r>
      <w:r w:rsidRPr="00D05729">
        <w:tab/>
      </w:r>
      <w:r w:rsidRPr="00D05729">
        <w:tab/>
      </w:r>
      <w:r w:rsidRPr="00D05729">
        <w:tab/>
      </w:r>
      <w:r w:rsidRPr="00D05729">
        <w:tab/>
        <w:t>CHOICE {</w:t>
      </w:r>
    </w:p>
    <w:p w14:paraId="2B26855D" w14:textId="5730C1E9" w:rsidR="00AE0284" w:rsidRPr="00D05729" w:rsidRDefault="00AE0284" w:rsidP="00AE0284">
      <w:pPr>
        <w:pStyle w:val="PL"/>
        <w:shd w:val="clear" w:color="auto" w:fill="E6E6E6"/>
      </w:pPr>
      <w:r w:rsidRPr="00D05729">
        <w:tab/>
      </w:r>
      <w:r w:rsidRPr="00D05729">
        <w:tab/>
        <w:t>oneFrame</w:t>
      </w:r>
      <w:r w:rsidRPr="00D05729">
        <w:tab/>
      </w:r>
      <w:r w:rsidRPr="00D05729">
        <w:tab/>
      </w:r>
      <w:r w:rsidRPr="00D05729">
        <w:tab/>
      </w:r>
      <w:r w:rsidRPr="00D05729">
        <w:tab/>
      </w:r>
      <w:r w:rsidRPr="00D05729">
        <w:tab/>
      </w:r>
      <w:r w:rsidRPr="00D05729">
        <w:tab/>
      </w:r>
      <w:r w:rsidRPr="00D05729">
        <w:tab/>
        <w:t>BIT STRING (SIZE(</w:t>
      </w:r>
      <w:r w:rsidR="00A03A56">
        <w:t>9</w:t>
      </w:r>
      <w:r w:rsidRPr="00D05729">
        <w:t>)),</w:t>
      </w:r>
    </w:p>
    <w:p w14:paraId="7FD70AE3" w14:textId="09CAEB0C" w:rsidR="00AE0284" w:rsidRPr="00D05729" w:rsidRDefault="00AE0284" w:rsidP="00AE0284">
      <w:pPr>
        <w:pStyle w:val="PL"/>
        <w:shd w:val="clear" w:color="auto" w:fill="E6E6E6"/>
      </w:pPr>
      <w:r w:rsidRPr="00D05729">
        <w:tab/>
      </w:r>
      <w:r w:rsidRPr="00D05729">
        <w:tab/>
        <w:t>fourFrames</w:t>
      </w:r>
      <w:r w:rsidRPr="00D05729">
        <w:tab/>
      </w:r>
      <w:r w:rsidRPr="00D05729">
        <w:tab/>
      </w:r>
      <w:r w:rsidRPr="00D05729">
        <w:tab/>
      </w:r>
      <w:r w:rsidRPr="00D05729">
        <w:tab/>
      </w:r>
      <w:r w:rsidRPr="00D05729">
        <w:tab/>
      </w:r>
      <w:r w:rsidRPr="00D05729">
        <w:tab/>
      </w:r>
      <w:r w:rsidRPr="00D05729">
        <w:tab/>
        <w:t>BIT STRING (SIZE(</w:t>
      </w:r>
      <w:r w:rsidR="00A03A56">
        <w:t>39</w:t>
      </w:r>
      <w:r w:rsidRPr="00D05729">
        <w:t>))</w:t>
      </w:r>
    </w:p>
    <w:p w14:paraId="77C998F4" w14:textId="77777777" w:rsidR="00AE0284" w:rsidRPr="00D05729" w:rsidRDefault="00AE0284" w:rsidP="00AE0284">
      <w:pPr>
        <w:pStyle w:val="PL"/>
        <w:shd w:val="clear" w:color="auto" w:fill="E6E6E6"/>
      </w:pPr>
      <w:r w:rsidRPr="00D05729">
        <w:tab/>
        <w:t>}</w:t>
      </w:r>
    </w:p>
    <w:p w14:paraId="1E0C1A67" w14:textId="78F9374E" w:rsidR="00AE0284" w:rsidRDefault="00AE0284" w:rsidP="00597774">
      <w:pPr>
        <w:pStyle w:val="LGTdoc1"/>
        <w:spacing w:beforeLines="0" w:before="120" w:after="220" w:afterAutospacing="0"/>
        <w:rPr>
          <w:b w:val="0"/>
          <w:sz w:val="22"/>
          <w:szCs w:val="22"/>
        </w:rPr>
      </w:pPr>
      <w:r>
        <w:rPr>
          <w:b w:val="0"/>
          <w:sz w:val="22"/>
          <w:szCs w:val="22"/>
        </w:rPr>
        <w:t xml:space="preserve">Where the new size of the bitmask is </w:t>
      </w:r>
      <w:r w:rsidR="00A03A56">
        <w:rPr>
          <w:b w:val="0"/>
          <w:sz w:val="22"/>
          <w:szCs w:val="22"/>
        </w:rPr>
        <w:t>9</w:t>
      </w:r>
      <w:r>
        <w:rPr>
          <w:b w:val="0"/>
          <w:sz w:val="22"/>
          <w:szCs w:val="22"/>
        </w:rPr>
        <w:t xml:space="preserve"> and </w:t>
      </w:r>
      <w:r w:rsidR="00A03A56">
        <w:rPr>
          <w:b w:val="0"/>
          <w:sz w:val="22"/>
          <w:szCs w:val="22"/>
        </w:rPr>
        <w:t>39</w:t>
      </w:r>
      <w:r>
        <w:rPr>
          <w:b w:val="0"/>
          <w:sz w:val="22"/>
          <w:szCs w:val="22"/>
        </w:rPr>
        <w:t xml:space="preserve"> to signal MBSFN configuration for </w:t>
      </w:r>
      <w:r w:rsidR="00143EA3">
        <w:rPr>
          <w:b w:val="0"/>
          <w:sz w:val="22"/>
          <w:szCs w:val="22"/>
        </w:rPr>
        <w:t>one</w:t>
      </w:r>
      <w:r>
        <w:rPr>
          <w:b w:val="0"/>
          <w:sz w:val="22"/>
          <w:szCs w:val="22"/>
        </w:rPr>
        <w:t xml:space="preserve"> and four radio frames, respectively. </w:t>
      </w:r>
      <w:r w:rsidR="00A03A56">
        <w:rPr>
          <w:b w:val="0"/>
          <w:sz w:val="22"/>
          <w:szCs w:val="22"/>
        </w:rPr>
        <w:t>The first subframe in each period of 10 or 40 ms is set to be unicast.</w:t>
      </w:r>
    </w:p>
    <w:p w14:paraId="7FD40967" w14:textId="74BD11B2" w:rsidR="00597774" w:rsidRPr="000E0B12" w:rsidRDefault="002515C6" w:rsidP="00597774">
      <w:pPr>
        <w:pStyle w:val="LGTdoc1"/>
        <w:spacing w:beforeLines="0" w:before="120" w:after="220" w:afterAutospacing="0"/>
        <w:rPr>
          <w:sz w:val="22"/>
          <w:szCs w:val="22"/>
        </w:rPr>
      </w:pPr>
      <w:r w:rsidRPr="000E0B12">
        <w:rPr>
          <w:sz w:val="22"/>
          <w:szCs w:val="22"/>
          <w:u w:val="single"/>
        </w:rPr>
        <w:t xml:space="preserve">Proposal 1: </w:t>
      </w:r>
      <w:r w:rsidR="00EF71A8" w:rsidRPr="000E0B12">
        <w:rPr>
          <w:sz w:val="22"/>
          <w:szCs w:val="22"/>
        </w:rPr>
        <w:t xml:space="preserve">Change the </w:t>
      </w:r>
      <w:r w:rsidR="002D7942" w:rsidRPr="000E0B12">
        <w:rPr>
          <w:sz w:val="22"/>
          <w:szCs w:val="22"/>
        </w:rPr>
        <w:t xml:space="preserve">RRC </w:t>
      </w:r>
      <w:r w:rsidR="00EF71A8" w:rsidRPr="000E0B12">
        <w:rPr>
          <w:sz w:val="22"/>
          <w:szCs w:val="22"/>
        </w:rPr>
        <w:t xml:space="preserve">MBSFN signalling to enable </w:t>
      </w:r>
      <w:r w:rsidR="002D7942" w:rsidRPr="000E0B12">
        <w:rPr>
          <w:sz w:val="22"/>
          <w:szCs w:val="22"/>
        </w:rPr>
        <w:t xml:space="preserve">setting </w:t>
      </w:r>
      <w:r w:rsidR="00A03A56" w:rsidRPr="000E0B12">
        <w:rPr>
          <w:sz w:val="22"/>
          <w:szCs w:val="22"/>
        </w:rPr>
        <w:t xml:space="preserve">almost </w:t>
      </w:r>
      <w:r w:rsidR="00143EA3" w:rsidRPr="000E0B12">
        <w:rPr>
          <w:sz w:val="22"/>
          <w:szCs w:val="22"/>
        </w:rPr>
        <w:t>all subframes</w:t>
      </w:r>
      <w:r w:rsidR="002D7942" w:rsidRPr="000E0B12">
        <w:rPr>
          <w:sz w:val="22"/>
          <w:szCs w:val="22"/>
        </w:rPr>
        <w:t xml:space="preserve"> as MBSFN</w:t>
      </w:r>
      <w:r w:rsidR="008961FB" w:rsidRPr="000E0B12">
        <w:rPr>
          <w:sz w:val="22"/>
          <w:szCs w:val="22"/>
        </w:rPr>
        <w:t>.</w:t>
      </w:r>
      <w:r w:rsidR="00A03A56" w:rsidRPr="000E0B12">
        <w:rPr>
          <w:sz w:val="22"/>
          <w:szCs w:val="22"/>
        </w:rPr>
        <w:t xml:space="preserve"> At least one subframe is reserved to unicast in each period for measure</w:t>
      </w:r>
      <w:r w:rsidR="000E0B12" w:rsidRPr="000E0B12">
        <w:rPr>
          <w:sz w:val="22"/>
          <w:szCs w:val="22"/>
        </w:rPr>
        <w:t>ments and discovery signals.</w:t>
      </w:r>
    </w:p>
    <w:p w14:paraId="5A375299" w14:textId="4A32FEA1" w:rsidR="00EF71A8" w:rsidRDefault="00A03A56" w:rsidP="00597774">
      <w:pPr>
        <w:pStyle w:val="LGTdoc1"/>
        <w:spacing w:beforeLines="0" w:before="120" w:after="220" w:afterAutospacing="0"/>
        <w:rPr>
          <w:b w:val="0"/>
          <w:sz w:val="22"/>
          <w:szCs w:val="22"/>
        </w:rPr>
      </w:pPr>
      <w:r>
        <w:rPr>
          <w:b w:val="0"/>
          <w:sz w:val="22"/>
          <w:szCs w:val="22"/>
        </w:rPr>
        <w:t>With the constraint of h</w:t>
      </w:r>
      <w:bookmarkStart w:id="2" w:name="_GoBack"/>
      <w:bookmarkEnd w:id="2"/>
      <w:r>
        <w:rPr>
          <w:b w:val="0"/>
          <w:sz w:val="22"/>
          <w:szCs w:val="22"/>
        </w:rPr>
        <w:t xml:space="preserve">aving to transmit one unicast subframe every 10/40ms, the minimum overhead we can support is 1/40. If we want to further reduce this overhead (at the expense of longer acquisition/measurement time), we can include a new subframeAllocation type to signal the allocation every 80ms </w:t>
      </w:r>
      <w:r w:rsidR="008961FB">
        <w:rPr>
          <w:b w:val="0"/>
          <w:sz w:val="22"/>
          <w:szCs w:val="22"/>
        </w:rPr>
        <w:t xml:space="preserve">(the minimum overhead due to unicast is reduced from 1/40 to 1/80). </w:t>
      </w:r>
    </w:p>
    <w:p w14:paraId="033A3471" w14:textId="20FA4990" w:rsidR="002138F9" w:rsidRPr="000E0B12" w:rsidRDefault="002138F9" w:rsidP="00597774">
      <w:pPr>
        <w:pStyle w:val="LGTdoc1"/>
        <w:spacing w:beforeLines="0" w:before="120" w:after="220" w:afterAutospacing="0"/>
        <w:rPr>
          <w:sz w:val="22"/>
          <w:szCs w:val="22"/>
        </w:rPr>
      </w:pPr>
      <w:r w:rsidRPr="000E0B12">
        <w:rPr>
          <w:sz w:val="22"/>
          <w:szCs w:val="22"/>
          <w:u w:val="single"/>
        </w:rPr>
        <w:t>Proposal 2:</w:t>
      </w:r>
      <w:r w:rsidRPr="000E0B12">
        <w:rPr>
          <w:sz w:val="22"/>
          <w:szCs w:val="22"/>
        </w:rPr>
        <w:t xml:space="preserve"> </w:t>
      </w:r>
      <w:r w:rsidR="008961FB" w:rsidRPr="000E0B12">
        <w:rPr>
          <w:sz w:val="22"/>
          <w:szCs w:val="22"/>
        </w:rPr>
        <w:t>Enable the possibili</w:t>
      </w:r>
      <w:r w:rsidR="00B61705" w:rsidRPr="000E0B12">
        <w:rPr>
          <w:sz w:val="22"/>
          <w:szCs w:val="22"/>
        </w:rPr>
        <w:t>ty of signalling MBSFN subframe pattern</w:t>
      </w:r>
      <w:r w:rsidR="008961FB" w:rsidRPr="000E0B12">
        <w:rPr>
          <w:sz w:val="22"/>
          <w:szCs w:val="22"/>
        </w:rPr>
        <w:t xml:space="preserve"> per 80ms</w:t>
      </w:r>
      <w:r w:rsidR="00A03A56" w:rsidRPr="000E0B12">
        <w:rPr>
          <w:sz w:val="22"/>
          <w:szCs w:val="22"/>
        </w:rPr>
        <w:t>.</w:t>
      </w:r>
    </w:p>
    <w:p w14:paraId="4DE37FCD" w14:textId="1C39C837" w:rsidR="00143EA3" w:rsidRDefault="00143EA3" w:rsidP="00143EA3">
      <w:pPr>
        <w:pStyle w:val="LGTdoc1"/>
        <w:spacing w:beforeLines="0" w:before="120" w:after="220" w:afterAutospacing="0"/>
        <w:rPr>
          <w:b w:val="0"/>
          <w:sz w:val="22"/>
          <w:szCs w:val="22"/>
          <w:highlight w:val="yellow"/>
        </w:rPr>
      </w:pPr>
    </w:p>
    <w:p w14:paraId="1B65B42E" w14:textId="77777777" w:rsidR="00A03A56" w:rsidRDefault="00A03A56" w:rsidP="00143EA3">
      <w:pPr>
        <w:pStyle w:val="LGTdoc1"/>
        <w:spacing w:beforeLines="0" w:before="120" w:after="220" w:afterAutospacing="0"/>
        <w:rPr>
          <w:b w:val="0"/>
          <w:sz w:val="22"/>
          <w:szCs w:val="22"/>
          <w:highlight w:val="yellow"/>
        </w:rPr>
      </w:pPr>
    </w:p>
    <w:p w14:paraId="52388FE7" w14:textId="77777777" w:rsidR="0039609B" w:rsidRDefault="0039609B" w:rsidP="00143EA3">
      <w:pPr>
        <w:pStyle w:val="LGTdoc1"/>
        <w:spacing w:beforeLines="0" w:before="120" w:after="220" w:afterAutospacing="0"/>
        <w:rPr>
          <w:b w:val="0"/>
          <w:sz w:val="22"/>
          <w:szCs w:val="22"/>
          <w:highlight w:val="yellow"/>
        </w:rPr>
      </w:pPr>
    </w:p>
    <w:p w14:paraId="376B93B0" w14:textId="77777777" w:rsidR="008961FB" w:rsidRDefault="008961FB" w:rsidP="00143EA3">
      <w:pPr>
        <w:pStyle w:val="LGTdoc1"/>
        <w:spacing w:beforeLines="0" w:before="120" w:after="220" w:afterAutospacing="0"/>
        <w:rPr>
          <w:b w:val="0"/>
          <w:sz w:val="22"/>
          <w:szCs w:val="22"/>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w:t>
      </w:r>
    </w:p>
    <w:p w14:paraId="1C871BC1" w14:textId="45A5485F" w:rsidR="00A03A56" w:rsidRPr="000E0B12" w:rsidRDefault="00A03A56" w:rsidP="00A03A56">
      <w:pPr>
        <w:pStyle w:val="LGTdoc1"/>
        <w:spacing w:beforeLines="0" w:before="120" w:after="220" w:afterAutospacing="0"/>
        <w:rPr>
          <w:sz w:val="22"/>
          <w:szCs w:val="22"/>
        </w:rPr>
      </w:pPr>
      <w:r w:rsidRPr="000E0B12">
        <w:rPr>
          <w:sz w:val="22"/>
          <w:szCs w:val="22"/>
          <w:u w:val="single"/>
        </w:rPr>
        <w:t xml:space="preserve">Proposal 1: </w:t>
      </w:r>
      <w:r w:rsidRPr="000E0B12">
        <w:rPr>
          <w:sz w:val="22"/>
          <w:szCs w:val="22"/>
        </w:rPr>
        <w:t>Change the RRC MBSFN signalling to enable setting almost all subframes as MBSFN. At least one subframe is reserved to unicast in each period for measure</w:t>
      </w:r>
      <w:r w:rsidR="000E0B12">
        <w:rPr>
          <w:sz w:val="22"/>
          <w:szCs w:val="22"/>
        </w:rPr>
        <w:t>ments and discovery signals.</w:t>
      </w:r>
    </w:p>
    <w:p w14:paraId="2F923F19" w14:textId="4EE71BD9" w:rsidR="00A03A56" w:rsidRPr="000E0B12" w:rsidRDefault="00A03A56" w:rsidP="00A03A56">
      <w:pPr>
        <w:pStyle w:val="LGTdoc1"/>
        <w:spacing w:beforeLines="0" w:before="120" w:after="220" w:afterAutospacing="0"/>
        <w:rPr>
          <w:sz w:val="22"/>
          <w:szCs w:val="22"/>
        </w:rPr>
      </w:pPr>
      <w:r w:rsidRPr="000E0B12">
        <w:rPr>
          <w:sz w:val="22"/>
          <w:szCs w:val="22"/>
          <w:u w:val="single"/>
        </w:rPr>
        <w:t>Proposal 2:</w:t>
      </w:r>
      <w:r w:rsidRPr="000E0B12">
        <w:rPr>
          <w:sz w:val="22"/>
          <w:szCs w:val="22"/>
        </w:rPr>
        <w:t xml:space="preserve"> Enable the possibili</w:t>
      </w:r>
      <w:r w:rsidR="00B61705" w:rsidRPr="000E0B12">
        <w:rPr>
          <w:sz w:val="22"/>
          <w:szCs w:val="22"/>
        </w:rPr>
        <w:t>ty of signalling MBSFN subframe pattern</w:t>
      </w:r>
      <w:r w:rsidRPr="000E0B12">
        <w:rPr>
          <w:sz w:val="22"/>
          <w:szCs w:val="22"/>
        </w:rPr>
        <w:t xml:space="preserve"> per 80ms.</w:t>
      </w:r>
    </w:p>
    <w:p w14:paraId="7AD9EC09" w14:textId="77777777" w:rsidR="003775E1" w:rsidRPr="00F00B29" w:rsidRDefault="003775E1" w:rsidP="003775E1">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FFE888E" w14:textId="6AFAC34A" w:rsidR="001446FB"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New WID: eMBMS enhancements for LTE</w:t>
      </w:r>
      <w:r>
        <w:rPr>
          <w:b w:val="0"/>
          <w:sz w:val="22"/>
          <w:szCs w:val="22"/>
        </w:rPr>
        <w:t xml:space="preserve">“, </w:t>
      </w:r>
      <w:r w:rsidR="003775E1">
        <w:rPr>
          <w:b w:val="0"/>
          <w:sz w:val="22"/>
          <w:szCs w:val="22"/>
        </w:rPr>
        <w:t>Ericsson, Qual</w:t>
      </w:r>
      <w:r w:rsidR="00EF71A8">
        <w:rPr>
          <w:b w:val="0"/>
          <w:sz w:val="22"/>
          <w:szCs w:val="22"/>
        </w:rPr>
        <w:t xml:space="preserve">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095C66B5" w14:textId="300B43AE" w:rsidR="00111B9A" w:rsidRPr="00DA6B43" w:rsidRDefault="009C3F37" w:rsidP="00E77804">
      <w:pPr>
        <w:pStyle w:val="LGTdoc1"/>
        <w:spacing w:beforeLines="0" w:before="120" w:after="220" w:afterAutospacing="0"/>
        <w:rPr>
          <w:rFonts w:ascii="Arial" w:hAnsi="Arial" w:cs="Arial"/>
        </w:rPr>
      </w:pPr>
      <w:r>
        <w:rPr>
          <w:b w:val="0"/>
          <w:sz w:val="22"/>
          <w:szCs w:val="22"/>
        </w:rPr>
        <w:t>[2] R1-163051, “Standalone eMBMS carrier”, Qualcomm Inc; 3GPP RAN1#84b, Busan, Korea, April 2016</w:t>
      </w:r>
    </w:p>
    <w:sectPr w:rsidR="00111B9A" w:rsidRPr="00DA6B43"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15895" w14:textId="77777777" w:rsidR="005300F0" w:rsidRDefault="005300F0">
      <w:r>
        <w:separator/>
      </w:r>
    </w:p>
  </w:endnote>
  <w:endnote w:type="continuationSeparator" w:id="0">
    <w:p w14:paraId="6972BA87" w14:textId="77777777" w:rsidR="005300F0" w:rsidRDefault="005300F0">
      <w:r>
        <w:continuationSeparator/>
      </w:r>
    </w:p>
  </w:endnote>
  <w:endnote w:type="continuationNotice" w:id="1">
    <w:p w14:paraId="2867E609" w14:textId="77777777" w:rsidR="005300F0" w:rsidRDefault="00530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0B12">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5460B" w14:textId="77777777" w:rsidR="005300F0" w:rsidRDefault="005300F0">
      <w:r>
        <w:separator/>
      </w:r>
    </w:p>
  </w:footnote>
  <w:footnote w:type="continuationSeparator" w:id="0">
    <w:p w14:paraId="75E6A115" w14:textId="77777777" w:rsidR="005300F0" w:rsidRDefault="005300F0">
      <w:r>
        <w:continuationSeparator/>
      </w:r>
    </w:p>
  </w:footnote>
  <w:footnote w:type="continuationNotice" w:id="1">
    <w:p w14:paraId="4BA4B543" w14:textId="77777777" w:rsidR="005300F0" w:rsidRDefault="005300F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55F60B6F"/>
    <w:multiLevelType w:val="hybridMultilevel"/>
    <w:tmpl w:val="BC20A808"/>
    <w:lvl w:ilvl="0" w:tplc="6190677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8"/>
  </w:num>
  <w:num w:numId="4">
    <w:abstractNumId w:val="44"/>
  </w:num>
  <w:num w:numId="5">
    <w:abstractNumId w:val="45"/>
  </w:num>
  <w:num w:numId="6">
    <w:abstractNumId w:val="34"/>
  </w:num>
  <w:num w:numId="7">
    <w:abstractNumId w:val="9"/>
  </w:num>
  <w:num w:numId="8">
    <w:abstractNumId w:val="2"/>
  </w:num>
  <w:num w:numId="9">
    <w:abstractNumId w:val="36"/>
  </w:num>
  <w:num w:numId="10">
    <w:abstractNumId w:val="22"/>
  </w:num>
  <w:num w:numId="11">
    <w:abstractNumId w:val="26"/>
  </w:num>
  <w:num w:numId="12">
    <w:abstractNumId w:val="8"/>
  </w:num>
  <w:num w:numId="13">
    <w:abstractNumId w:val="39"/>
  </w:num>
  <w:num w:numId="14">
    <w:abstractNumId w:val="27"/>
  </w:num>
  <w:num w:numId="15">
    <w:abstractNumId w:val="20"/>
  </w:num>
  <w:num w:numId="16">
    <w:abstractNumId w:val="37"/>
  </w:num>
  <w:num w:numId="17">
    <w:abstractNumId w:val="32"/>
  </w:num>
  <w:num w:numId="18">
    <w:abstractNumId w:val="25"/>
  </w:num>
  <w:num w:numId="19">
    <w:abstractNumId w:val="13"/>
  </w:num>
  <w:num w:numId="20">
    <w:abstractNumId w:val="15"/>
  </w:num>
  <w:num w:numId="21">
    <w:abstractNumId w:val="33"/>
  </w:num>
  <w:num w:numId="22">
    <w:abstractNumId w:val="3"/>
  </w:num>
  <w:num w:numId="23">
    <w:abstractNumId w:val="24"/>
  </w:num>
  <w:num w:numId="24">
    <w:abstractNumId w:val="30"/>
  </w:num>
  <w:num w:numId="25">
    <w:abstractNumId w:val="35"/>
  </w:num>
  <w:num w:numId="26">
    <w:abstractNumId w:val="7"/>
  </w:num>
  <w:num w:numId="27">
    <w:abstractNumId w:val="1"/>
  </w:num>
  <w:num w:numId="28">
    <w:abstractNumId w:val="38"/>
  </w:num>
  <w:num w:numId="29">
    <w:abstractNumId w:val="6"/>
  </w:num>
  <w:num w:numId="30">
    <w:abstractNumId w:val="40"/>
  </w:num>
  <w:num w:numId="31">
    <w:abstractNumId w:val="5"/>
  </w:num>
  <w:num w:numId="32">
    <w:abstractNumId w:val="23"/>
  </w:num>
  <w:num w:numId="33">
    <w:abstractNumId w:val="19"/>
  </w:num>
  <w:num w:numId="34">
    <w:abstractNumId w:val="42"/>
  </w:num>
  <w:num w:numId="35">
    <w:abstractNumId w:val="31"/>
  </w:num>
  <w:num w:numId="36">
    <w:abstractNumId w:val="17"/>
  </w:num>
  <w:num w:numId="37">
    <w:abstractNumId w:val="43"/>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1"/>
  </w:num>
  <w:num w:numId="45">
    <w:abstractNumId w:val="14"/>
  </w:num>
  <w:num w:numId="46">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99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5ACTRJNS4X5K-3-3454</_dlc_DocId>
    <_dlc_DocIdUrl xmlns="09bf1062-b00c-4aa1-ba18-87ca9e63a56e">
      <Url>https://projects.qualcomm.com/sites/espresso/_layouts/15/DocIdRedir.aspx?ID=5ACTRJNS4X5K-3-3454</Url>
      <Description>5ACTRJNS4X5K-3-3454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C73663E1-6689-47D9-BD59-2A99F181E148}">
  <ds:schemaRefs>
    <ds:schemaRef ds:uri="http://schemas.openxmlformats.org/officeDocument/2006/bibliography"/>
  </ds:schemaRefs>
</ds:datastoreItem>
</file>

<file path=customXml/itemProps7.xml><?xml version="1.0" encoding="utf-8"?>
<ds:datastoreItem xmlns:ds="http://schemas.openxmlformats.org/officeDocument/2006/customXml" ds:itemID="{02AF89AD-43E0-407D-AF4E-EAC6B984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2</Pages>
  <Words>420</Words>
  <Characters>2396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Rico-Alvarino, Alberto</cp:lastModifiedBy>
  <cp:revision>15</cp:revision>
  <cp:lastPrinted>2010-08-13T21:54:00Z</cp:lastPrinted>
  <dcterms:created xsi:type="dcterms:W3CDTF">2016-03-22T22:35:00Z</dcterms:created>
  <dcterms:modified xsi:type="dcterms:W3CDTF">2016-04-02T01:25:00Z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b4346b1c-452d-4039-b586-457d0b52f844</vt:lpwstr>
  </property>
</Properties>
</file>